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658D" w14:textId="2D49FF24" w:rsidR="007A53FA" w:rsidRDefault="00267BE8" w:rsidP="00267BE8">
      <w:pPr>
        <w:jc w:val="center"/>
        <w:rPr>
          <w:b/>
          <w:bCs/>
        </w:rPr>
      </w:pPr>
      <w:r w:rsidRPr="00267BE8">
        <w:rPr>
          <w:b/>
          <w:bCs/>
        </w:rPr>
        <w:t>Faculty Fellows Selection Rubric</w:t>
      </w:r>
    </w:p>
    <w:p w14:paraId="5AE6B388" w14:textId="77777777" w:rsidR="00267BE8" w:rsidRDefault="00267BE8"/>
    <w:tbl>
      <w:tblPr>
        <w:tblStyle w:val="TableGrid"/>
        <w:tblW w:w="0" w:type="auto"/>
        <w:tblLook w:val="04A0" w:firstRow="1" w:lastRow="0" w:firstColumn="1" w:lastColumn="0" w:noHBand="0" w:noVBand="1"/>
      </w:tblPr>
      <w:tblGrid>
        <w:gridCol w:w="2007"/>
        <w:gridCol w:w="2585"/>
        <w:gridCol w:w="2483"/>
        <w:gridCol w:w="2275"/>
      </w:tblGrid>
      <w:tr w:rsidR="00267BE8" w:rsidRPr="00267BE8" w14:paraId="62171916" w14:textId="77777777" w:rsidTr="00267BE8">
        <w:trPr>
          <w:trHeight w:val="310"/>
        </w:trPr>
        <w:tc>
          <w:tcPr>
            <w:tcW w:w="2004" w:type="dxa"/>
            <w:hideMark/>
          </w:tcPr>
          <w:p w14:paraId="0598B764" w14:textId="77777777" w:rsidR="00267BE8" w:rsidRPr="00267BE8" w:rsidRDefault="00267BE8">
            <w:pPr>
              <w:rPr>
                <w:b/>
                <w:bCs/>
              </w:rPr>
            </w:pPr>
            <w:r w:rsidRPr="00267BE8">
              <w:rPr>
                <w:b/>
                <w:bCs/>
              </w:rPr>
              <w:t>Criteria</w:t>
            </w:r>
          </w:p>
        </w:tc>
        <w:tc>
          <w:tcPr>
            <w:tcW w:w="2586" w:type="dxa"/>
            <w:hideMark/>
          </w:tcPr>
          <w:p w14:paraId="4EC021BD" w14:textId="77777777" w:rsidR="00267BE8" w:rsidRPr="00267BE8" w:rsidRDefault="00267BE8">
            <w:pPr>
              <w:rPr>
                <w:b/>
                <w:bCs/>
              </w:rPr>
            </w:pPr>
            <w:r w:rsidRPr="00267BE8">
              <w:rPr>
                <w:b/>
                <w:bCs/>
              </w:rPr>
              <w:t>High (5-4)</w:t>
            </w:r>
          </w:p>
        </w:tc>
        <w:tc>
          <w:tcPr>
            <w:tcW w:w="2484" w:type="dxa"/>
            <w:hideMark/>
          </w:tcPr>
          <w:p w14:paraId="3BDB2228" w14:textId="77777777" w:rsidR="00267BE8" w:rsidRPr="00267BE8" w:rsidRDefault="00267BE8">
            <w:pPr>
              <w:rPr>
                <w:b/>
                <w:bCs/>
              </w:rPr>
            </w:pPr>
            <w:r w:rsidRPr="00267BE8">
              <w:rPr>
                <w:b/>
                <w:bCs/>
              </w:rPr>
              <w:t>Moderate (3)</w:t>
            </w:r>
          </w:p>
        </w:tc>
        <w:tc>
          <w:tcPr>
            <w:tcW w:w="2276" w:type="dxa"/>
            <w:hideMark/>
          </w:tcPr>
          <w:p w14:paraId="60BA31D8" w14:textId="77777777" w:rsidR="00267BE8" w:rsidRPr="00267BE8" w:rsidRDefault="00267BE8">
            <w:pPr>
              <w:rPr>
                <w:b/>
                <w:bCs/>
              </w:rPr>
            </w:pPr>
            <w:r w:rsidRPr="00267BE8">
              <w:rPr>
                <w:b/>
                <w:bCs/>
              </w:rPr>
              <w:t>Low (1-2)</w:t>
            </w:r>
          </w:p>
        </w:tc>
      </w:tr>
      <w:tr w:rsidR="00267BE8" w:rsidRPr="00267BE8" w14:paraId="68B8E271" w14:textId="77777777" w:rsidTr="00267BE8">
        <w:trPr>
          <w:trHeight w:val="2840"/>
        </w:trPr>
        <w:tc>
          <w:tcPr>
            <w:tcW w:w="2004" w:type="dxa"/>
            <w:hideMark/>
          </w:tcPr>
          <w:p w14:paraId="2B2A573B" w14:textId="77777777" w:rsidR="00267BE8" w:rsidRPr="00267BE8" w:rsidRDefault="00267BE8">
            <w:r w:rsidRPr="00267BE8">
              <w:t>Rationale for Applying</w:t>
            </w:r>
          </w:p>
        </w:tc>
        <w:tc>
          <w:tcPr>
            <w:tcW w:w="2586" w:type="dxa"/>
            <w:hideMark/>
          </w:tcPr>
          <w:p w14:paraId="12613E0A" w14:textId="77777777" w:rsidR="00267BE8" w:rsidRPr="00267BE8" w:rsidRDefault="00267BE8">
            <w:r w:rsidRPr="00267BE8">
              <w:t>Clearly articulates a strong rationale for applying to the FFs program, demonstrating a deep understanding of the program's goals and alignment with their teaching philosophy and professional development aspirations.</w:t>
            </w:r>
          </w:p>
        </w:tc>
        <w:tc>
          <w:tcPr>
            <w:tcW w:w="2484" w:type="dxa"/>
            <w:hideMark/>
          </w:tcPr>
          <w:p w14:paraId="3795C3AD" w14:textId="77777777" w:rsidR="00267BE8" w:rsidRPr="00267BE8" w:rsidRDefault="00267BE8">
            <w:r w:rsidRPr="00267BE8">
              <w:t>Provides a well-structured explanation for joining the FFs program, showcasing a grasp of the program's objectives and how it aligns with their teaching interests and professional growth goals.</w:t>
            </w:r>
          </w:p>
        </w:tc>
        <w:tc>
          <w:tcPr>
            <w:tcW w:w="2276" w:type="dxa"/>
            <w:hideMark/>
          </w:tcPr>
          <w:p w14:paraId="0780869D" w14:textId="77777777" w:rsidR="00267BE8" w:rsidRPr="00267BE8" w:rsidRDefault="00267BE8">
            <w:r w:rsidRPr="00267BE8">
              <w:t>Offers a reasonable explanation for applying to the FFs program, indicating an understanding of the program's aims and a general desire to participate.</w:t>
            </w:r>
          </w:p>
        </w:tc>
      </w:tr>
      <w:tr w:rsidR="00267BE8" w:rsidRPr="00267BE8" w14:paraId="7EFA3EDB" w14:textId="77777777" w:rsidTr="00267BE8">
        <w:trPr>
          <w:trHeight w:val="3920"/>
        </w:trPr>
        <w:tc>
          <w:tcPr>
            <w:tcW w:w="2004" w:type="dxa"/>
            <w:hideMark/>
          </w:tcPr>
          <w:p w14:paraId="17D3E5BD" w14:textId="77777777" w:rsidR="00267BE8" w:rsidRPr="00267BE8" w:rsidRDefault="00267BE8">
            <w:r w:rsidRPr="00267BE8">
              <w:t>Engagement in Active Learning</w:t>
            </w:r>
          </w:p>
        </w:tc>
        <w:tc>
          <w:tcPr>
            <w:tcW w:w="2586" w:type="dxa"/>
            <w:hideMark/>
          </w:tcPr>
          <w:p w14:paraId="37215196" w14:textId="77777777" w:rsidR="00267BE8" w:rsidRPr="00267BE8" w:rsidRDefault="00267BE8">
            <w:r w:rsidRPr="00267BE8">
              <w:t>Provides detailed and specific examples of incorporating active, collaborative, or innovative learning approaches in their teaching. Clearly explains the learning goals, strategies employed, and the positive impact on student engagement, critical thinking, and overall learning outcomes.</w:t>
            </w:r>
          </w:p>
        </w:tc>
        <w:tc>
          <w:tcPr>
            <w:tcW w:w="2484" w:type="dxa"/>
            <w:hideMark/>
          </w:tcPr>
          <w:p w14:paraId="1443BDBD" w14:textId="77777777" w:rsidR="00267BE8" w:rsidRPr="00267BE8" w:rsidRDefault="00267BE8">
            <w:r w:rsidRPr="00267BE8">
              <w:t>Presents well-developed examples of utilizing active, collaborative, or innovative learning approaches in their teaching. Effectively describes the learning objectives, implementation strategies, and the positive impact on student engagement, critical thinking, and learning outcomes.</w:t>
            </w:r>
          </w:p>
        </w:tc>
        <w:tc>
          <w:tcPr>
            <w:tcW w:w="2276" w:type="dxa"/>
            <w:hideMark/>
          </w:tcPr>
          <w:p w14:paraId="05D2B1C3" w14:textId="77777777" w:rsidR="00267BE8" w:rsidRPr="00267BE8" w:rsidRDefault="00267BE8">
            <w:r w:rsidRPr="00267BE8">
              <w:t>Shares examples of using active, collaborative, or innovative learning approaches in their teaching. Provides some details about the learning goals, strategies, and impact on student engagement.</w:t>
            </w:r>
          </w:p>
        </w:tc>
      </w:tr>
      <w:tr w:rsidR="00267BE8" w:rsidRPr="00267BE8" w14:paraId="20BD97D0" w14:textId="77777777" w:rsidTr="00267BE8">
        <w:trPr>
          <w:trHeight w:val="3613"/>
        </w:trPr>
        <w:tc>
          <w:tcPr>
            <w:tcW w:w="2004" w:type="dxa"/>
            <w:hideMark/>
          </w:tcPr>
          <w:p w14:paraId="614A6087" w14:textId="77777777" w:rsidR="00267BE8" w:rsidRPr="00267BE8" w:rsidRDefault="00267BE8">
            <w:r w:rsidRPr="00267BE8">
              <w:t>AI Integration Plan</w:t>
            </w:r>
          </w:p>
        </w:tc>
        <w:tc>
          <w:tcPr>
            <w:tcW w:w="2586" w:type="dxa"/>
            <w:hideMark/>
          </w:tcPr>
          <w:p w14:paraId="7D65F661" w14:textId="77777777" w:rsidR="00267BE8" w:rsidRPr="00267BE8" w:rsidRDefault="00267BE8">
            <w:r w:rsidRPr="00267BE8">
              <w:t>Clearly identifies a specific course or set of courses where AI integration will be implemented. Outlines a comprehensive and well-defined plan for integrating AI in a way that aligns with active learning, critical thinking, and SLU's Core Values.</w:t>
            </w:r>
          </w:p>
        </w:tc>
        <w:tc>
          <w:tcPr>
            <w:tcW w:w="2484" w:type="dxa"/>
            <w:hideMark/>
          </w:tcPr>
          <w:p w14:paraId="4BA9D130" w14:textId="77777777" w:rsidR="00267BE8" w:rsidRPr="00267BE8" w:rsidRDefault="00267BE8">
            <w:r w:rsidRPr="00267BE8">
              <w:t>Proposes a well-defined plan for integrating AI into a targeted course or group of courses. Demonstrates an understanding of how AI can enhance active learning, critical thinking, and the alignment with Core Values.</w:t>
            </w:r>
          </w:p>
        </w:tc>
        <w:tc>
          <w:tcPr>
            <w:tcW w:w="2276" w:type="dxa"/>
            <w:hideMark/>
          </w:tcPr>
          <w:p w14:paraId="4CCAF248" w14:textId="77777777" w:rsidR="00267BE8" w:rsidRPr="00267BE8" w:rsidRDefault="00267BE8">
            <w:r w:rsidRPr="00267BE8">
              <w:t>Suggests potential courses for AI integration and expresses interest in exploring AI-driven pedagogical approaches. However, the plan lacks specificity or fails to fully address the connection to active learning, critical thinking, and Core Values.</w:t>
            </w:r>
          </w:p>
        </w:tc>
      </w:tr>
      <w:tr w:rsidR="00267BE8" w:rsidRPr="00267BE8" w14:paraId="2FC5EAD3" w14:textId="77777777" w:rsidTr="00267BE8">
        <w:trPr>
          <w:trHeight w:val="3980"/>
        </w:trPr>
        <w:tc>
          <w:tcPr>
            <w:tcW w:w="2004" w:type="dxa"/>
            <w:hideMark/>
          </w:tcPr>
          <w:p w14:paraId="2475D05E" w14:textId="77777777" w:rsidR="00267BE8" w:rsidRPr="00267BE8" w:rsidRDefault="00267BE8">
            <w:r w:rsidRPr="00267BE8">
              <w:lastRenderedPageBreak/>
              <w:t>Potential Benefits</w:t>
            </w:r>
          </w:p>
        </w:tc>
        <w:tc>
          <w:tcPr>
            <w:tcW w:w="2586" w:type="dxa"/>
            <w:hideMark/>
          </w:tcPr>
          <w:p w14:paraId="56C77CC4" w14:textId="77777777" w:rsidR="00267BE8" w:rsidRPr="00267BE8" w:rsidRDefault="00267BE8">
            <w:r w:rsidRPr="00267BE8">
              <w:t>Articulates a clear and compelling vision of the potential benefits for themselves and their students resulting from participation in the FFs program. Highlights how the program will enhance their teaching skills, foster student engagement, and contribute to the overall learning experience.</w:t>
            </w:r>
          </w:p>
        </w:tc>
        <w:tc>
          <w:tcPr>
            <w:tcW w:w="2484" w:type="dxa"/>
            <w:hideMark/>
          </w:tcPr>
          <w:p w14:paraId="3E0A4425" w14:textId="77777777" w:rsidR="00267BE8" w:rsidRPr="00267BE8" w:rsidRDefault="00267BE8">
            <w:r w:rsidRPr="00267BE8">
              <w:t>Outlines the potential benefits for themselves and their students from participating in the FFs program. Demonstrates an understanding of how the program will contribute to their professional development and improve student learning outcomes.</w:t>
            </w:r>
          </w:p>
        </w:tc>
        <w:tc>
          <w:tcPr>
            <w:tcW w:w="2276" w:type="dxa"/>
            <w:hideMark/>
          </w:tcPr>
          <w:p w14:paraId="2AE50A39" w14:textId="77777777" w:rsidR="00267BE8" w:rsidRPr="00267BE8" w:rsidRDefault="00267BE8">
            <w:r w:rsidRPr="00267BE8">
              <w:t>Expresses enthusiasm for the potential benefits of the FFs program but lacks a detailed articulation of how it will impact their teaching and student learning.</w:t>
            </w:r>
          </w:p>
        </w:tc>
      </w:tr>
      <w:tr w:rsidR="00267BE8" w:rsidRPr="00267BE8" w14:paraId="34D66763" w14:textId="77777777" w:rsidTr="00267BE8">
        <w:trPr>
          <w:trHeight w:val="3980"/>
        </w:trPr>
        <w:tc>
          <w:tcPr>
            <w:tcW w:w="2004" w:type="dxa"/>
          </w:tcPr>
          <w:p w14:paraId="0E4BACA0" w14:textId="12CCFF97" w:rsidR="00267BE8" w:rsidRDefault="00267BE8">
            <w:r>
              <w:t>BONUS</w:t>
            </w:r>
          </w:p>
          <w:p w14:paraId="7DFC197E" w14:textId="3F6B3136" w:rsidR="00267BE8" w:rsidRPr="00267BE8" w:rsidRDefault="00267BE8">
            <w:r>
              <w:t>Evidence of commitment and engagement in CTLE’s activities.</w:t>
            </w:r>
          </w:p>
        </w:tc>
        <w:tc>
          <w:tcPr>
            <w:tcW w:w="2586" w:type="dxa"/>
          </w:tcPr>
          <w:p w14:paraId="4B6AF45A" w14:textId="40E60320" w:rsidR="00267BE8" w:rsidRPr="00267BE8" w:rsidRDefault="00267BE8">
            <w:r>
              <w:t xml:space="preserve">Demonstrates an outstanding pattern of </w:t>
            </w:r>
            <w:r w:rsidR="00F61EF4">
              <w:t xml:space="preserve">commitment, </w:t>
            </w:r>
            <w:r>
              <w:t>engagement</w:t>
            </w:r>
            <w:r w:rsidR="00F61EF4">
              <w:t>,</w:t>
            </w:r>
            <w:r>
              <w:t xml:space="preserve"> and collaboration in CTLE’s activities</w:t>
            </w:r>
            <w:r w:rsidR="00F61EF4">
              <w:t>.</w:t>
            </w:r>
          </w:p>
        </w:tc>
        <w:tc>
          <w:tcPr>
            <w:tcW w:w="2484" w:type="dxa"/>
          </w:tcPr>
          <w:p w14:paraId="612D0B04" w14:textId="7E1B6925" w:rsidR="00267BE8" w:rsidRPr="00267BE8" w:rsidRDefault="00267BE8">
            <w:r>
              <w:t>Demonstrates a solid pattern of engagement and collaboration in CTLE’s activities</w:t>
            </w:r>
          </w:p>
        </w:tc>
        <w:tc>
          <w:tcPr>
            <w:tcW w:w="2276" w:type="dxa"/>
          </w:tcPr>
          <w:p w14:paraId="180C8EFE" w14:textId="6E3551F2" w:rsidR="00267BE8" w:rsidRPr="00267BE8" w:rsidRDefault="00267BE8">
            <w:r>
              <w:t xml:space="preserve">Demonstrates </w:t>
            </w:r>
            <w:r w:rsidR="00F61EF4">
              <w:t xml:space="preserve">intermittent interest </w:t>
            </w:r>
            <w:r>
              <w:t>in CTLE’s activities</w:t>
            </w:r>
            <w:r w:rsidR="00F61EF4">
              <w:t>.</w:t>
            </w:r>
          </w:p>
        </w:tc>
      </w:tr>
      <w:tr w:rsidR="00267BE8" w:rsidRPr="00267BE8" w14:paraId="5FDA213B" w14:textId="77777777" w:rsidTr="00267BE8">
        <w:trPr>
          <w:trHeight w:val="1020"/>
        </w:trPr>
        <w:tc>
          <w:tcPr>
            <w:tcW w:w="2004" w:type="dxa"/>
            <w:hideMark/>
          </w:tcPr>
          <w:p w14:paraId="56CE6A61" w14:textId="77777777" w:rsidR="00267BE8" w:rsidRPr="00267BE8" w:rsidRDefault="00267BE8">
            <w:pPr>
              <w:rPr>
                <w:b/>
                <w:bCs/>
              </w:rPr>
            </w:pPr>
            <w:r w:rsidRPr="00267BE8">
              <w:rPr>
                <w:b/>
                <w:bCs/>
              </w:rPr>
              <w:t>Overall Recommendation</w:t>
            </w:r>
          </w:p>
        </w:tc>
        <w:tc>
          <w:tcPr>
            <w:tcW w:w="2586" w:type="dxa"/>
            <w:hideMark/>
          </w:tcPr>
          <w:p w14:paraId="47D40140" w14:textId="77777777" w:rsidR="00267BE8" w:rsidRPr="00267BE8" w:rsidRDefault="00267BE8">
            <w:pPr>
              <w:rPr>
                <w:b/>
                <w:bCs/>
              </w:rPr>
            </w:pPr>
            <w:r w:rsidRPr="00267BE8">
              <w:rPr>
                <w:b/>
                <w:bCs/>
              </w:rPr>
              <w:t>Strongly recommend for the FFs program.</w:t>
            </w:r>
          </w:p>
        </w:tc>
        <w:tc>
          <w:tcPr>
            <w:tcW w:w="2484" w:type="dxa"/>
            <w:hideMark/>
          </w:tcPr>
          <w:p w14:paraId="2B40D150" w14:textId="77BD0248" w:rsidR="00267BE8" w:rsidRPr="00267BE8" w:rsidRDefault="00F61EF4">
            <w:pPr>
              <w:rPr>
                <w:b/>
                <w:bCs/>
              </w:rPr>
            </w:pPr>
            <w:r>
              <w:rPr>
                <w:b/>
                <w:bCs/>
              </w:rPr>
              <w:t xml:space="preserve">Do not recommend at this time. </w:t>
            </w:r>
            <w:r w:rsidR="00267BE8" w:rsidRPr="00267BE8">
              <w:rPr>
                <w:b/>
                <w:bCs/>
              </w:rPr>
              <w:t xml:space="preserve"> </w:t>
            </w:r>
          </w:p>
        </w:tc>
        <w:tc>
          <w:tcPr>
            <w:tcW w:w="2276" w:type="dxa"/>
            <w:hideMark/>
          </w:tcPr>
          <w:p w14:paraId="70AAB477" w14:textId="291EDED2" w:rsidR="00267BE8" w:rsidRPr="00267BE8" w:rsidRDefault="00267BE8">
            <w:pPr>
              <w:rPr>
                <w:b/>
                <w:bCs/>
              </w:rPr>
            </w:pPr>
          </w:p>
        </w:tc>
      </w:tr>
    </w:tbl>
    <w:p w14:paraId="5522F4AE" w14:textId="77777777" w:rsidR="00267BE8" w:rsidRDefault="00267BE8"/>
    <w:sectPr w:rsidR="0026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QciEzNTEwszC0tzSyUdpeDU4uLM/DyQAsNaAHm8Mu8sAAAA"/>
  </w:docVars>
  <w:rsids>
    <w:rsidRoot w:val="00267BE8"/>
    <w:rsid w:val="000560C5"/>
    <w:rsid w:val="00244B03"/>
    <w:rsid w:val="00267BE8"/>
    <w:rsid w:val="004F51C8"/>
    <w:rsid w:val="00583D2C"/>
    <w:rsid w:val="007A53FA"/>
    <w:rsid w:val="009A5475"/>
    <w:rsid w:val="00A8176B"/>
    <w:rsid w:val="00DD1E80"/>
    <w:rsid w:val="00F61EF4"/>
    <w:rsid w:val="29C235B0"/>
    <w:rsid w:val="3AB5E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AC15"/>
  <w15:chartTrackingRefBased/>
  <w15:docId w15:val="{37E9702C-F9A6-45D0-947C-5FD93B72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BE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67BE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7BE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7BE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67BE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67B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7B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7B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7B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E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67B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7BE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7BE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67BE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67B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7B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7B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7BE8"/>
    <w:rPr>
      <w:rFonts w:eastAsiaTheme="majorEastAsia" w:cstheme="majorBidi"/>
      <w:color w:val="272727" w:themeColor="text1" w:themeTint="D8"/>
    </w:rPr>
  </w:style>
  <w:style w:type="paragraph" w:styleId="Title">
    <w:name w:val="Title"/>
    <w:basedOn w:val="Normal"/>
    <w:next w:val="Normal"/>
    <w:link w:val="TitleChar"/>
    <w:uiPriority w:val="10"/>
    <w:qFormat/>
    <w:rsid w:val="00267B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B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7B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7B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7BE8"/>
    <w:pPr>
      <w:spacing w:before="160"/>
      <w:jc w:val="center"/>
    </w:pPr>
    <w:rPr>
      <w:i/>
      <w:iCs/>
      <w:color w:val="404040" w:themeColor="text1" w:themeTint="BF"/>
    </w:rPr>
  </w:style>
  <w:style w:type="character" w:customStyle="1" w:styleId="QuoteChar">
    <w:name w:val="Quote Char"/>
    <w:basedOn w:val="DefaultParagraphFont"/>
    <w:link w:val="Quote"/>
    <w:uiPriority w:val="29"/>
    <w:rsid w:val="00267BE8"/>
    <w:rPr>
      <w:i/>
      <w:iCs/>
      <w:color w:val="404040" w:themeColor="text1" w:themeTint="BF"/>
    </w:rPr>
  </w:style>
  <w:style w:type="paragraph" w:styleId="ListParagraph">
    <w:name w:val="List Paragraph"/>
    <w:basedOn w:val="Normal"/>
    <w:uiPriority w:val="34"/>
    <w:qFormat/>
    <w:rsid w:val="00267BE8"/>
    <w:pPr>
      <w:ind w:left="720"/>
      <w:contextualSpacing/>
    </w:pPr>
  </w:style>
  <w:style w:type="character" w:styleId="IntenseEmphasis">
    <w:name w:val="Intense Emphasis"/>
    <w:basedOn w:val="DefaultParagraphFont"/>
    <w:uiPriority w:val="21"/>
    <w:qFormat/>
    <w:rsid w:val="00267BE8"/>
    <w:rPr>
      <w:i/>
      <w:iCs/>
      <w:color w:val="2E74B5" w:themeColor="accent1" w:themeShade="BF"/>
    </w:rPr>
  </w:style>
  <w:style w:type="paragraph" w:styleId="IntenseQuote">
    <w:name w:val="Intense Quote"/>
    <w:basedOn w:val="Normal"/>
    <w:next w:val="Normal"/>
    <w:link w:val="IntenseQuoteChar"/>
    <w:uiPriority w:val="30"/>
    <w:qFormat/>
    <w:rsid w:val="00267BE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67BE8"/>
    <w:rPr>
      <w:i/>
      <w:iCs/>
      <w:color w:val="2E74B5" w:themeColor="accent1" w:themeShade="BF"/>
    </w:rPr>
  </w:style>
  <w:style w:type="character" w:styleId="IntenseReference">
    <w:name w:val="Intense Reference"/>
    <w:basedOn w:val="DefaultParagraphFont"/>
    <w:uiPriority w:val="32"/>
    <w:qFormat/>
    <w:rsid w:val="00267BE8"/>
    <w:rPr>
      <w:b/>
      <w:bCs/>
      <w:smallCaps/>
      <w:color w:val="2E74B5" w:themeColor="accent1" w:themeShade="BF"/>
      <w:spacing w:val="5"/>
    </w:rPr>
  </w:style>
  <w:style w:type="table" w:styleId="TableGrid">
    <w:name w:val="Table Grid"/>
    <w:basedOn w:val="TableNormal"/>
    <w:uiPriority w:val="39"/>
    <w:rsid w:val="0026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EF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van Olphen</dc:creator>
  <cp:keywords/>
  <dc:description/>
  <cp:lastModifiedBy>Kari Cremer</cp:lastModifiedBy>
  <cp:revision>2</cp:revision>
  <dcterms:created xsi:type="dcterms:W3CDTF">2024-04-16T14:27:00Z</dcterms:created>
  <dcterms:modified xsi:type="dcterms:W3CDTF">2024-04-16T14:27:00Z</dcterms:modified>
</cp:coreProperties>
</file>